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1AD" w:rsidRPr="007454FD" w:rsidRDefault="00730D77">
      <w:pPr>
        <w:spacing w:after="0"/>
        <w:ind w:left="137"/>
        <w:jc w:val="center"/>
        <w:rPr>
          <w:color w:val="1F3864" w:themeColor="accent1" w:themeShade="80"/>
        </w:rPr>
      </w:pPr>
      <w:r w:rsidRPr="007454FD">
        <w:rPr>
          <w:b/>
          <w:color w:val="1F3864" w:themeColor="accent1" w:themeShade="80"/>
          <w:sz w:val="108"/>
        </w:rPr>
        <w:t xml:space="preserve">Carers’ issues </w:t>
      </w:r>
    </w:p>
    <w:p w:rsidR="00FA31AD" w:rsidRPr="007454FD" w:rsidRDefault="00730D77">
      <w:pPr>
        <w:spacing w:after="0"/>
        <w:ind w:left="1612" w:hanging="10"/>
        <w:rPr>
          <w:color w:val="1F3864" w:themeColor="accent1" w:themeShade="80"/>
        </w:rPr>
      </w:pPr>
      <w:r w:rsidRPr="007454FD">
        <w:rPr>
          <w:b/>
          <w:color w:val="1F3864" w:themeColor="accent1" w:themeShade="80"/>
          <w:sz w:val="108"/>
        </w:rPr>
        <w:t xml:space="preserve">Learning Disability </w:t>
      </w:r>
    </w:p>
    <w:p w:rsidR="00FA31AD" w:rsidRPr="007454FD" w:rsidRDefault="00730D77">
      <w:pPr>
        <w:spacing w:after="0"/>
        <w:ind w:left="1709" w:hanging="10"/>
        <w:rPr>
          <w:color w:val="1F3864" w:themeColor="accent1" w:themeShade="80"/>
        </w:rPr>
      </w:pPr>
      <w:r w:rsidRPr="007454FD">
        <w:rPr>
          <w:b/>
          <w:color w:val="1F3864" w:themeColor="accent1" w:themeShade="80"/>
          <w:sz w:val="108"/>
        </w:rPr>
        <w:t xml:space="preserve">Partnership Board </w:t>
      </w:r>
    </w:p>
    <w:p w:rsidR="00FA31AD" w:rsidRPr="007454FD" w:rsidRDefault="00730D77">
      <w:pPr>
        <w:spacing w:after="0"/>
        <w:ind w:left="382"/>
        <w:jc w:val="center"/>
        <w:rPr>
          <w:color w:val="1F3864" w:themeColor="accent1" w:themeShade="80"/>
        </w:rPr>
      </w:pPr>
      <w:r w:rsidRPr="007454FD">
        <w:rPr>
          <w:b/>
          <w:color w:val="1F3864" w:themeColor="accent1" w:themeShade="80"/>
          <w:sz w:val="108"/>
        </w:rPr>
        <w:t xml:space="preserve"> </w:t>
      </w:r>
    </w:p>
    <w:p w:rsidR="00B94190" w:rsidRPr="007454FD" w:rsidRDefault="00B94190" w:rsidP="00B94190">
      <w:pPr>
        <w:spacing w:after="0" w:line="216" w:lineRule="auto"/>
        <w:ind w:right="3931"/>
        <w:rPr>
          <w:b/>
          <w:color w:val="1F3864" w:themeColor="accent1" w:themeShade="80"/>
          <w:sz w:val="64"/>
        </w:rPr>
      </w:pPr>
      <w:r w:rsidRPr="007454FD">
        <w:rPr>
          <w:b/>
          <w:color w:val="1F3864" w:themeColor="accent1" w:themeShade="80"/>
          <w:sz w:val="64"/>
        </w:rPr>
        <w:t xml:space="preserve">                     18</w:t>
      </w:r>
      <w:r w:rsidR="00730D77" w:rsidRPr="007454FD">
        <w:rPr>
          <w:b/>
          <w:color w:val="1F3864" w:themeColor="accent1" w:themeShade="80"/>
          <w:sz w:val="64"/>
        </w:rPr>
        <w:t xml:space="preserve"> Ma</w:t>
      </w:r>
      <w:r w:rsidRPr="007454FD">
        <w:rPr>
          <w:b/>
          <w:color w:val="1F3864" w:themeColor="accent1" w:themeShade="80"/>
          <w:sz w:val="64"/>
        </w:rPr>
        <w:t>rch 2019</w:t>
      </w:r>
      <w:r w:rsidR="00730D77" w:rsidRPr="007454FD">
        <w:rPr>
          <w:b/>
          <w:color w:val="1F3864" w:themeColor="accent1" w:themeShade="80"/>
          <w:sz w:val="64"/>
        </w:rPr>
        <w:t xml:space="preserve"> </w:t>
      </w:r>
    </w:p>
    <w:p w:rsidR="00B94190" w:rsidRDefault="00B94190" w:rsidP="00B94190">
      <w:pPr>
        <w:spacing w:after="0" w:line="216" w:lineRule="auto"/>
        <w:ind w:right="3931"/>
        <w:rPr>
          <w:b/>
          <w:color w:val="7C6B4D"/>
          <w:sz w:val="64"/>
        </w:rPr>
      </w:pPr>
    </w:p>
    <w:p w:rsidR="00B94190" w:rsidRDefault="00B94190" w:rsidP="00B94190">
      <w:pPr>
        <w:spacing w:after="0" w:line="216" w:lineRule="auto"/>
        <w:ind w:right="3931"/>
        <w:rPr>
          <w:b/>
          <w:color w:val="7C6B4D"/>
          <w:sz w:val="64"/>
        </w:rPr>
      </w:pPr>
    </w:p>
    <w:p w:rsidR="00FA31AD" w:rsidRDefault="00730D77" w:rsidP="00B94190">
      <w:pPr>
        <w:spacing w:after="0" w:line="216" w:lineRule="auto"/>
        <w:ind w:right="3931"/>
      </w:pPr>
      <w:r>
        <w:rPr>
          <w:b/>
          <w:color w:val="7C6B4D"/>
          <w:sz w:val="64"/>
        </w:rPr>
        <w:t xml:space="preserve"> </w:t>
      </w:r>
      <w:r>
        <w:rPr>
          <w:b/>
          <w:color w:val="C00000"/>
          <w:sz w:val="108"/>
        </w:rPr>
        <w:t xml:space="preserve"> </w:t>
      </w:r>
    </w:p>
    <w:p w:rsidR="00FA31AD" w:rsidRDefault="00B94190">
      <w:pPr>
        <w:spacing w:after="0"/>
      </w:pPr>
      <w:r w:rsidRPr="00B94190">
        <w:rPr>
          <w:b/>
          <w:color w:val="002060"/>
          <w:sz w:val="56"/>
          <w:u w:val="single"/>
        </w:rPr>
        <w:lastRenderedPageBreak/>
        <w:t>Local changes</w:t>
      </w:r>
      <w:r>
        <w:rPr>
          <w:b/>
          <w:color w:val="002060"/>
          <w:sz w:val="56"/>
        </w:rPr>
        <w:t xml:space="preserve"> - </w:t>
      </w:r>
      <w:r w:rsidR="00730D77">
        <w:rPr>
          <w:b/>
          <w:color w:val="002060"/>
          <w:sz w:val="56"/>
        </w:rPr>
        <w:t>Funding</w:t>
      </w:r>
      <w:r>
        <w:rPr>
          <w:b/>
          <w:color w:val="002060"/>
          <w:sz w:val="56"/>
        </w:rPr>
        <w:t xml:space="preserve"> of support packages</w:t>
      </w:r>
      <w:r w:rsidR="00730D77">
        <w:rPr>
          <w:b/>
          <w:color w:val="002060"/>
          <w:sz w:val="56"/>
        </w:rPr>
        <w:t xml:space="preserve"> </w:t>
      </w:r>
    </w:p>
    <w:p w:rsidR="00FA31AD" w:rsidRDefault="00730D77">
      <w:pPr>
        <w:spacing w:after="0"/>
      </w:pPr>
      <w:r>
        <w:rPr>
          <w:color w:val="002060"/>
          <w:sz w:val="56"/>
        </w:rPr>
        <w:t xml:space="preserve"> </w:t>
      </w:r>
    </w:p>
    <w:p w:rsidR="00FA31AD" w:rsidRPr="00DF539B" w:rsidRDefault="00730D77">
      <w:pPr>
        <w:spacing w:after="0" w:line="236" w:lineRule="auto"/>
        <w:ind w:left="-5" w:right="371" w:hanging="10"/>
        <w:rPr>
          <w:color w:val="002060"/>
          <w:sz w:val="44"/>
          <w:szCs w:val="44"/>
        </w:rPr>
      </w:pPr>
      <w:r w:rsidRPr="00DF539B">
        <w:rPr>
          <w:color w:val="002060"/>
          <w:sz w:val="44"/>
          <w:szCs w:val="44"/>
        </w:rPr>
        <w:t xml:space="preserve">We </w:t>
      </w:r>
      <w:r w:rsidR="00B94190" w:rsidRPr="00DF539B">
        <w:rPr>
          <w:color w:val="002060"/>
          <w:sz w:val="44"/>
          <w:szCs w:val="44"/>
        </w:rPr>
        <w:t>are concerned that people with low-level support are ending up with no support at all, because the charging policy makes it too difficult to afford that support.</w:t>
      </w:r>
    </w:p>
    <w:p w:rsidR="00B94190" w:rsidRPr="00DF539B" w:rsidRDefault="00B94190">
      <w:pPr>
        <w:spacing w:after="0" w:line="236" w:lineRule="auto"/>
        <w:ind w:left="-5" w:right="371" w:hanging="10"/>
        <w:rPr>
          <w:sz w:val="44"/>
          <w:szCs w:val="44"/>
        </w:rPr>
      </w:pPr>
    </w:p>
    <w:p w:rsidR="00B94190" w:rsidRPr="00DF539B" w:rsidRDefault="00B94190">
      <w:pPr>
        <w:spacing w:after="0" w:line="236" w:lineRule="auto"/>
        <w:ind w:left="-5" w:right="371" w:hanging="10"/>
        <w:rPr>
          <w:color w:val="1F3864" w:themeColor="accent1" w:themeShade="80"/>
          <w:sz w:val="44"/>
          <w:szCs w:val="44"/>
        </w:rPr>
      </w:pPr>
      <w:r w:rsidRPr="00DF539B">
        <w:rPr>
          <w:color w:val="1F3864" w:themeColor="accent1" w:themeShade="80"/>
          <w:sz w:val="44"/>
          <w:szCs w:val="44"/>
        </w:rPr>
        <w:t xml:space="preserve">Is it time to check out the impact of these </w:t>
      </w:r>
      <w:proofErr w:type="gramStart"/>
      <w:r w:rsidRPr="00DF539B">
        <w:rPr>
          <w:color w:val="1F3864" w:themeColor="accent1" w:themeShade="80"/>
          <w:sz w:val="44"/>
          <w:szCs w:val="44"/>
        </w:rPr>
        <w:t>changes ?</w:t>
      </w:r>
      <w:proofErr w:type="gramEnd"/>
      <w:r w:rsidRPr="00DF539B">
        <w:rPr>
          <w:color w:val="1F3864" w:themeColor="accent1" w:themeShade="80"/>
          <w:sz w:val="44"/>
          <w:szCs w:val="44"/>
        </w:rPr>
        <w:t xml:space="preserve"> </w:t>
      </w:r>
      <w:r w:rsidR="00A77154">
        <w:rPr>
          <w:color w:val="1F3864" w:themeColor="accent1" w:themeShade="80"/>
          <w:sz w:val="44"/>
          <w:szCs w:val="44"/>
        </w:rPr>
        <w:t xml:space="preserve">               </w:t>
      </w:r>
      <w:r w:rsidRPr="00DF539B">
        <w:rPr>
          <w:color w:val="1F3864" w:themeColor="accent1" w:themeShade="80"/>
          <w:sz w:val="44"/>
          <w:szCs w:val="44"/>
        </w:rPr>
        <w:t xml:space="preserve">A Scrutiny </w:t>
      </w:r>
      <w:proofErr w:type="gramStart"/>
      <w:r w:rsidRPr="00DF539B">
        <w:rPr>
          <w:color w:val="1F3864" w:themeColor="accent1" w:themeShade="80"/>
          <w:sz w:val="44"/>
          <w:szCs w:val="44"/>
        </w:rPr>
        <w:t>issue ?</w:t>
      </w:r>
      <w:proofErr w:type="gramEnd"/>
    </w:p>
    <w:p w:rsidR="00FA31AD" w:rsidRDefault="00730D77">
      <w:pPr>
        <w:spacing w:after="0"/>
      </w:pPr>
      <w:r>
        <w:rPr>
          <w:color w:val="002060"/>
          <w:sz w:val="56"/>
        </w:rPr>
        <w:t xml:space="preserve"> </w:t>
      </w:r>
    </w:p>
    <w:p w:rsidR="00FA31AD" w:rsidRDefault="00FA31AD">
      <w:pPr>
        <w:spacing w:after="145"/>
        <w:ind w:left="568"/>
      </w:pPr>
    </w:p>
    <w:p w:rsidR="00B94190" w:rsidRDefault="00B94190">
      <w:pPr>
        <w:spacing w:after="145"/>
        <w:ind w:left="568"/>
      </w:pPr>
    </w:p>
    <w:p w:rsidR="00B94190" w:rsidRDefault="00B94190">
      <w:pPr>
        <w:spacing w:after="145"/>
        <w:ind w:left="568"/>
      </w:pPr>
    </w:p>
    <w:p w:rsidR="00B94190" w:rsidRDefault="00B94190">
      <w:pPr>
        <w:spacing w:after="145"/>
        <w:ind w:left="568"/>
      </w:pPr>
    </w:p>
    <w:p w:rsidR="00DF539B" w:rsidRDefault="00DF539B">
      <w:pPr>
        <w:spacing w:after="145"/>
        <w:ind w:left="568"/>
      </w:pPr>
    </w:p>
    <w:p w:rsidR="00DF539B" w:rsidRDefault="00DF539B">
      <w:pPr>
        <w:spacing w:after="145"/>
        <w:ind w:left="568"/>
      </w:pPr>
    </w:p>
    <w:p w:rsidR="00FA31AD" w:rsidRPr="00B94190" w:rsidRDefault="00B94190">
      <w:pPr>
        <w:spacing w:after="0"/>
        <w:ind w:left="568"/>
        <w:rPr>
          <w:color w:val="1F3864" w:themeColor="accent1" w:themeShade="80"/>
        </w:rPr>
      </w:pPr>
      <w:r w:rsidRPr="00B94190">
        <w:rPr>
          <w:b/>
          <w:color w:val="1F3864" w:themeColor="accent1" w:themeShade="80"/>
          <w:sz w:val="56"/>
          <w:u w:val="single"/>
        </w:rPr>
        <w:lastRenderedPageBreak/>
        <w:t>Welfare Benefits</w:t>
      </w:r>
      <w:r w:rsidRPr="00B94190">
        <w:rPr>
          <w:b/>
          <w:color w:val="1F3864" w:themeColor="accent1" w:themeShade="80"/>
          <w:sz w:val="56"/>
        </w:rPr>
        <w:t xml:space="preserve"> – PIPs </w:t>
      </w:r>
    </w:p>
    <w:p w:rsidR="00FA31AD" w:rsidRPr="00B94190" w:rsidRDefault="00730D77">
      <w:pPr>
        <w:spacing w:after="70"/>
        <w:ind w:left="568"/>
        <w:rPr>
          <w:color w:val="1F3864" w:themeColor="accent1" w:themeShade="80"/>
        </w:rPr>
      </w:pPr>
      <w:r w:rsidRPr="00B94190">
        <w:rPr>
          <w:color w:val="1F3864" w:themeColor="accent1" w:themeShade="80"/>
          <w:sz w:val="36"/>
        </w:rPr>
        <w:t xml:space="preserve"> </w:t>
      </w:r>
    </w:p>
    <w:p w:rsidR="00FA31AD" w:rsidRPr="00B94190" w:rsidRDefault="00730D77">
      <w:pPr>
        <w:spacing w:after="18"/>
        <w:ind w:left="568"/>
        <w:rPr>
          <w:color w:val="1F3864" w:themeColor="accent1" w:themeShade="80"/>
        </w:rPr>
      </w:pPr>
      <w:r w:rsidRPr="00B94190">
        <w:rPr>
          <w:color w:val="1F3864" w:themeColor="accent1" w:themeShade="80"/>
          <w:sz w:val="48"/>
        </w:rPr>
        <w:t xml:space="preserve"> </w:t>
      </w:r>
    </w:p>
    <w:p w:rsidR="00B94190" w:rsidRPr="001D33E4" w:rsidRDefault="00B94190">
      <w:pPr>
        <w:spacing w:after="0" w:line="236" w:lineRule="auto"/>
        <w:ind w:left="568"/>
        <w:rPr>
          <w:color w:val="1F3864" w:themeColor="accent1" w:themeShade="80"/>
          <w:sz w:val="44"/>
          <w:szCs w:val="44"/>
        </w:rPr>
      </w:pPr>
      <w:r w:rsidRPr="001D33E4">
        <w:rPr>
          <w:color w:val="1F3864" w:themeColor="accent1" w:themeShade="80"/>
          <w:sz w:val="44"/>
          <w:szCs w:val="44"/>
        </w:rPr>
        <w:t xml:space="preserve">Even within the comparatively small numbers of carers in the Sub-group, we have </w:t>
      </w:r>
    </w:p>
    <w:p w:rsidR="00B94190" w:rsidRPr="001D33E4" w:rsidRDefault="00B94190" w:rsidP="00B94190">
      <w:pPr>
        <w:pStyle w:val="ListParagraph"/>
        <w:numPr>
          <w:ilvl w:val="0"/>
          <w:numId w:val="1"/>
        </w:numPr>
        <w:spacing w:after="0" w:line="236" w:lineRule="auto"/>
        <w:rPr>
          <w:color w:val="1F3864" w:themeColor="accent1" w:themeShade="80"/>
          <w:sz w:val="44"/>
          <w:szCs w:val="44"/>
        </w:rPr>
      </w:pPr>
      <w:r w:rsidRPr="001D33E4">
        <w:rPr>
          <w:color w:val="1F3864" w:themeColor="accent1" w:themeShade="80"/>
          <w:sz w:val="44"/>
          <w:szCs w:val="44"/>
        </w:rPr>
        <w:t>one person who have been called for interview, then had that interview cancelled, then told that their completed form had never been received.</w:t>
      </w:r>
    </w:p>
    <w:p w:rsidR="00FA31AD" w:rsidRDefault="00B94190" w:rsidP="00B94190">
      <w:pPr>
        <w:pStyle w:val="ListParagraph"/>
        <w:numPr>
          <w:ilvl w:val="0"/>
          <w:numId w:val="1"/>
        </w:numPr>
        <w:spacing w:after="0" w:line="236" w:lineRule="auto"/>
        <w:rPr>
          <w:color w:val="1F3864" w:themeColor="accent1" w:themeShade="80"/>
          <w:sz w:val="44"/>
          <w:szCs w:val="44"/>
        </w:rPr>
      </w:pPr>
      <w:r w:rsidRPr="001D33E4">
        <w:rPr>
          <w:color w:val="1F3864" w:themeColor="accent1" w:themeShade="80"/>
          <w:sz w:val="44"/>
          <w:szCs w:val="44"/>
        </w:rPr>
        <w:t xml:space="preserve">One </w:t>
      </w:r>
      <w:r w:rsidR="001D33E4" w:rsidRPr="001D33E4">
        <w:rPr>
          <w:color w:val="1F3864" w:themeColor="accent1" w:themeShade="80"/>
          <w:sz w:val="44"/>
          <w:szCs w:val="44"/>
        </w:rPr>
        <w:t>person</w:t>
      </w:r>
      <w:r w:rsidRPr="001D33E4">
        <w:rPr>
          <w:color w:val="1F3864" w:themeColor="accent1" w:themeShade="80"/>
          <w:sz w:val="44"/>
          <w:szCs w:val="44"/>
        </w:rPr>
        <w:t xml:space="preserve"> wh</w:t>
      </w:r>
      <w:r w:rsidR="001D33E4" w:rsidRPr="001D33E4">
        <w:rPr>
          <w:color w:val="1F3864" w:themeColor="accent1" w:themeShade="80"/>
          <w:sz w:val="44"/>
          <w:szCs w:val="44"/>
        </w:rPr>
        <w:t>ose</w:t>
      </w:r>
      <w:r w:rsidRPr="001D33E4">
        <w:rPr>
          <w:color w:val="1F3864" w:themeColor="accent1" w:themeShade="80"/>
          <w:sz w:val="44"/>
          <w:szCs w:val="44"/>
        </w:rPr>
        <w:t xml:space="preserve"> agreed amount following the PIP assessment has</w:t>
      </w:r>
      <w:r w:rsidR="001D33E4" w:rsidRPr="001D33E4">
        <w:rPr>
          <w:color w:val="1F3864" w:themeColor="accent1" w:themeShade="80"/>
          <w:sz w:val="44"/>
          <w:szCs w:val="44"/>
        </w:rPr>
        <w:t xml:space="preserve"> </w:t>
      </w:r>
      <w:r w:rsidRPr="001D33E4">
        <w:rPr>
          <w:color w:val="1F3864" w:themeColor="accent1" w:themeShade="80"/>
          <w:sz w:val="44"/>
          <w:szCs w:val="44"/>
        </w:rPr>
        <w:t xml:space="preserve">never been paid (only the mobility component) </w:t>
      </w:r>
      <w:r w:rsidR="001D33E4">
        <w:rPr>
          <w:color w:val="1F3864" w:themeColor="accent1" w:themeShade="80"/>
          <w:sz w:val="44"/>
          <w:szCs w:val="44"/>
        </w:rPr>
        <w:t>‘</w:t>
      </w:r>
      <w:r w:rsidRPr="001D33E4">
        <w:rPr>
          <w:color w:val="1F3864" w:themeColor="accent1" w:themeShade="80"/>
          <w:sz w:val="44"/>
          <w:szCs w:val="44"/>
        </w:rPr>
        <w:t>because they have a support budget from the Council</w:t>
      </w:r>
      <w:r w:rsidR="001D33E4">
        <w:rPr>
          <w:color w:val="1F3864" w:themeColor="accent1" w:themeShade="80"/>
          <w:sz w:val="44"/>
          <w:szCs w:val="44"/>
        </w:rPr>
        <w:t>.’</w:t>
      </w:r>
    </w:p>
    <w:p w:rsidR="001D33E4" w:rsidRDefault="001D33E4" w:rsidP="001D33E4">
      <w:pPr>
        <w:pStyle w:val="ListParagraph"/>
        <w:spacing w:after="0" w:line="236" w:lineRule="auto"/>
        <w:rPr>
          <w:color w:val="1F3864" w:themeColor="accent1" w:themeShade="80"/>
          <w:sz w:val="44"/>
          <w:szCs w:val="44"/>
        </w:rPr>
      </w:pPr>
    </w:p>
    <w:p w:rsidR="001D33E4" w:rsidRPr="001D33E4" w:rsidRDefault="001D33E4" w:rsidP="001D33E4">
      <w:pPr>
        <w:pStyle w:val="ListParagraph"/>
        <w:spacing w:after="0" w:line="236" w:lineRule="auto"/>
        <w:rPr>
          <w:color w:val="1F3864" w:themeColor="accent1" w:themeShade="80"/>
          <w:sz w:val="44"/>
          <w:szCs w:val="44"/>
        </w:rPr>
      </w:pPr>
      <w:r>
        <w:rPr>
          <w:color w:val="1F3864" w:themeColor="accent1" w:themeShade="80"/>
          <w:sz w:val="44"/>
          <w:szCs w:val="44"/>
        </w:rPr>
        <w:t xml:space="preserve">Time for an input / apology from a DWP </w:t>
      </w:r>
      <w:proofErr w:type="gramStart"/>
      <w:r>
        <w:rPr>
          <w:color w:val="1F3864" w:themeColor="accent1" w:themeShade="80"/>
          <w:sz w:val="44"/>
          <w:szCs w:val="44"/>
        </w:rPr>
        <w:t>representative ?</w:t>
      </w:r>
      <w:proofErr w:type="gramEnd"/>
    </w:p>
    <w:p w:rsidR="00FA31AD" w:rsidRDefault="00730D77">
      <w:pPr>
        <w:spacing w:after="0"/>
        <w:ind w:left="568"/>
      </w:pPr>
      <w:r>
        <w:rPr>
          <w:sz w:val="56"/>
        </w:rPr>
        <w:lastRenderedPageBreak/>
        <w:t xml:space="preserve"> </w:t>
      </w:r>
    </w:p>
    <w:p w:rsidR="00FA31AD" w:rsidRDefault="00730D77">
      <w:pPr>
        <w:spacing w:after="0"/>
        <w:ind w:left="568"/>
      </w:pPr>
      <w:r>
        <w:rPr>
          <w:sz w:val="56"/>
        </w:rPr>
        <w:t xml:space="preserve"> </w:t>
      </w:r>
    </w:p>
    <w:p w:rsidR="00FA31AD" w:rsidRPr="001D33E4" w:rsidRDefault="001D33E4">
      <w:pPr>
        <w:spacing w:after="0"/>
        <w:ind w:left="115"/>
        <w:rPr>
          <w:color w:val="1F3864" w:themeColor="accent1" w:themeShade="80"/>
        </w:rPr>
      </w:pPr>
      <w:r w:rsidRPr="001D33E4">
        <w:rPr>
          <w:b/>
          <w:color w:val="1F3864" w:themeColor="accent1" w:themeShade="80"/>
          <w:sz w:val="56"/>
        </w:rPr>
        <w:t xml:space="preserve">Health inequalities </w:t>
      </w:r>
    </w:p>
    <w:p w:rsidR="00FA31AD" w:rsidRDefault="00730D77">
      <w:pPr>
        <w:spacing w:after="26"/>
        <w:ind w:left="115"/>
      </w:pPr>
      <w:r>
        <w:rPr>
          <w:color w:val="000099"/>
          <w:sz w:val="40"/>
        </w:rPr>
        <w:t xml:space="preserve"> </w:t>
      </w:r>
    </w:p>
    <w:p w:rsidR="00FA31AD" w:rsidRPr="00DF539B" w:rsidRDefault="001D33E4">
      <w:pPr>
        <w:spacing w:after="3" w:line="236" w:lineRule="auto"/>
        <w:ind w:left="110" w:hanging="10"/>
        <w:rPr>
          <w:color w:val="1F3864" w:themeColor="accent1" w:themeShade="80"/>
          <w:sz w:val="44"/>
          <w:szCs w:val="44"/>
        </w:rPr>
      </w:pPr>
      <w:r w:rsidRPr="00DF539B">
        <w:rPr>
          <w:color w:val="1F3864" w:themeColor="accent1" w:themeShade="80"/>
          <w:sz w:val="44"/>
          <w:szCs w:val="44"/>
        </w:rPr>
        <w:t xml:space="preserve">We have been discussing the Annual Health Check, and a concern that it happens in isolation, and is often not referred to again. Given the recent report about the (avoidable) early causes of death for people with learning disabilities, why does the format of the health check not link to those identified areas of concern, and check them </w:t>
      </w:r>
      <w:proofErr w:type="gramStart"/>
      <w:r w:rsidRPr="00DF539B">
        <w:rPr>
          <w:color w:val="1F3864" w:themeColor="accent1" w:themeShade="80"/>
          <w:sz w:val="44"/>
          <w:szCs w:val="44"/>
        </w:rPr>
        <w:t>out ?</w:t>
      </w:r>
      <w:proofErr w:type="gramEnd"/>
      <w:r w:rsidR="00730D77" w:rsidRPr="00DF539B">
        <w:rPr>
          <w:color w:val="1F3864" w:themeColor="accent1" w:themeShade="80"/>
          <w:sz w:val="44"/>
          <w:szCs w:val="44"/>
        </w:rPr>
        <w:t xml:space="preserve"> </w:t>
      </w:r>
    </w:p>
    <w:p w:rsidR="00FA31AD" w:rsidRPr="001D33E4" w:rsidRDefault="00730D77">
      <w:pPr>
        <w:spacing w:after="0"/>
        <w:ind w:left="115"/>
        <w:rPr>
          <w:color w:val="1F3864" w:themeColor="accent1" w:themeShade="80"/>
        </w:rPr>
      </w:pPr>
      <w:r w:rsidRPr="001D33E4">
        <w:rPr>
          <w:color w:val="1F3864" w:themeColor="accent1" w:themeShade="80"/>
          <w:sz w:val="48"/>
        </w:rPr>
        <w:t xml:space="preserve"> </w:t>
      </w:r>
    </w:p>
    <w:p w:rsidR="00DF539B" w:rsidRDefault="00DF539B">
      <w:pPr>
        <w:pStyle w:val="Heading1"/>
      </w:pPr>
    </w:p>
    <w:p w:rsidR="00DF539B" w:rsidRDefault="00DF539B">
      <w:pPr>
        <w:pStyle w:val="Heading1"/>
        <w:rPr>
          <w:color w:val="1F3864" w:themeColor="accent1" w:themeShade="80"/>
        </w:rPr>
      </w:pPr>
    </w:p>
    <w:p w:rsidR="00FA31AD" w:rsidRPr="001D33E4" w:rsidRDefault="001D33E4">
      <w:pPr>
        <w:pStyle w:val="Heading1"/>
        <w:rPr>
          <w:color w:val="1F3864" w:themeColor="accent1" w:themeShade="80"/>
        </w:rPr>
      </w:pPr>
      <w:r w:rsidRPr="001D33E4">
        <w:rPr>
          <w:color w:val="1F3864" w:themeColor="accent1" w:themeShade="80"/>
        </w:rPr>
        <w:t xml:space="preserve">Local practice – reviews </w:t>
      </w:r>
    </w:p>
    <w:p w:rsidR="00FA31AD" w:rsidRPr="001D33E4" w:rsidRDefault="00730D77">
      <w:pPr>
        <w:spacing w:after="0"/>
        <w:ind w:left="568"/>
        <w:rPr>
          <w:color w:val="1F3864" w:themeColor="accent1" w:themeShade="80"/>
        </w:rPr>
      </w:pPr>
      <w:r w:rsidRPr="001D33E4">
        <w:rPr>
          <w:color w:val="1F3864" w:themeColor="accent1" w:themeShade="80"/>
          <w:sz w:val="56"/>
        </w:rPr>
        <w:t xml:space="preserve"> </w:t>
      </w:r>
    </w:p>
    <w:p w:rsidR="00EA1017" w:rsidRPr="00DF539B" w:rsidRDefault="00730D77">
      <w:pPr>
        <w:spacing w:after="0" w:line="236" w:lineRule="auto"/>
        <w:ind w:left="563" w:right="682" w:hanging="10"/>
        <w:rPr>
          <w:color w:val="1F3864" w:themeColor="accent1" w:themeShade="80"/>
          <w:sz w:val="44"/>
          <w:szCs w:val="44"/>
        </w:rPr>
      </w:pPr>
      <w:r w:rsidRPr="00DF539B">
        <w:rPr>
          <w:color w:val="1F3864" w:themeColor="accent1" w:themeShade="80"/>
          <w:sz w:val="44"/>
          <w:szCs w:val="44"/>
        </w:rPr>
        <w:t>W</w:t>
      </w:r>
      <w:r w:rsidR="001D33E4" w:rsidRPr="00DF539B">
        <w:rPr>
          <w:color w:val="1F3864" w:themeColor="accent1" w:themeShade="80"/>
          <w:sz w:val="44"/>
          <w:szCs w:val="44"/>
        </w:rPr>
        <w:t xml:space="preserve">e were told that a considerably increased team of social workers was to be recruited </w:t>
      </w:r>
      <w:r w:rsidR="00EA1017" w:rsidRPr="00DF539B">
        <w:rPr>
          <w:color w:val="1F3864" w:themeColor="accent1" w:themeShade="80"/>
          <w:sz w:val="44"/>
          <w:szCs w:val="44"/>
        </w:rPr>
        <w:t xml:space="preserve">to tackle the huge backlog of reviews, and make sure that support packages matched people’s current needs. When are we going to see something happening in this </w:t>
      </w:r>
      <w:proofErr w:type="gramStart"/>
      <w:r w:rsidR="00EA1017" w:rsidRPr="00DF539B">
        <w:rPr>
          <w:color w:val="1F3864" w:themeColor="accent1" w:themeShade="80"/>
          <w:sz w:val="44"/>
          <w:szCs w:val="44"/>
        </w:rPr>
        <w:t>regard ?</w:t>
      </w:r>
      <w:proofErr w:type="gramEnd"/>
    </w:p>
    <w:p w:rsidR="00EA1017" w:rsidRPr="00DF539B" w:rsidRDefault="00EA1017">
      <w:pPr>
        <w:spacing w:after="0" w:line="236" w:lineRule="auto"/>
        <w:ind w:left="563" w:right="682" w:hanging="10"/>
        <w:rPr>
          <w:color w:val="1F3864" w:themeColor="accent1" w:themeShade="80"/>
          <w:sz w:val="44"/>
          <w:szCs w:val="44"/>
        </w:rPr>
      </w:pPr>
    </w:p>
    <w:p w:rsidR="00EA1017" w:rsidRDefault="00EA1017">
      <w:pPr>
        <w:spacing w:after="0" w:line="236" w:lineRule="auto"/>
        <w:ind w:left="563" w:right="682" w:hanging="10"/>
        <w:rPr>
          <w:color w:val="1F3864" w:themeColor="accent1" w:themeShade="80"/>
          <w:sz w:val="56"/>
        </w:rPr>
      </w:pPr>
    </w:p>
    <w:p w:rsidR="00EA1017" w:rsidRDefault="00EA1017">
      <w:pPr>
        <w:spacing w:after="0" w:line="236" w:lineRule="auto"/>
        <w:ind w:left="563" w:right="682" w:hanging="10"/>
        <w:rPr>
          <w:color w:val="1F3864" w:themeColor="accent1" w:themeShade="80"/>
          <w:sz w:val="56"/>
        </w:rPr>
      </w:pPr>
    </w:p>
    <w:p w:rsidR="00FA31AD" w:rsidRDefault="00EA1017">
      <w:pPr>
        <w:spacing w:after="0" w:line="236" w:lineRule="auto"/>
        <w:ind w:left="563" w:right="682" w:hanging="10"/>
        <w:rPr>
          <w:b/>
          <w:color w:val="1F3864" w:themeColor="accent1" w:themeShade="80"/>
          <w:sz w:val="56"/>
          <w:u w:val="single"/>
        </w:rPr>
      </w:pPr>
      <w:r w:rsidRPr="00EA1017">
        <w:rPr>
          <w:b/>
          <w:color w:val="1F3864" w:themeColor="accent1" w:themeShade="80"/>
          <w:sz w:val="56"/>
          <w:u w:val="single"/>
        </w:rPr>
        <w:lastRenderedPageBreak/>
        <w:t>NHS report</w:t>
      </w:r>
      <w:r w:rsidR="00730D77" w:rsidRPr="00EA1017">
        <w:rPr>
          <w:b/>
          <w:color w:val="1F3864" w:themeColor="accent1" w:themeShade="80"/>
          <w:sz w:val="56"/>
          <w:u w:val="single"/>
        </w:rPr>
        <w:t xml:space="preserve"> </w:t>
      </w:r>
      <w:r w:rsidRPr="00EA1017">
        <w:rPr>
          <w:b/>
          <w:color w:val="1F3864" w:themeColor="accent1" w:themeShade="80"/>
          <w:sz w:val="56"/>
          <w:u w:val="single"/>
        </w:rPr>
        <w:t xml:space="preserve">on the cost of replacement care if family carers </w:t>
      </w:r>
      <w:proofErr w:type="gramStart"/>
      <w:r w:rsidRPr="00EA1017">
        <w:rPr>
          <w:b/>
          <w:color w:val="1F3864" w:themeColor="accent1" w:themeShade="80"/>
          <w:sz w:val="56"/>
          <w:u w:val="single"/>
        </w:rPr>
        <w:t>have to</w:t>
      </w:r>
      <w:proofErr w:type="gramEnd"/>
      <w:r w:rsidRPr="00EA1017">
        <w:rPr>
          <w:b/>
          <w:color w:val="1F3864" w:themeColor="accent1" w:themeShade="80"/>
          <w:sz w:val="56"/>
          <w:u w:val="single"/>
        </w:rPr>
        <w:t xml:space="preserve"> give up</w:t>
      </w:r>
    </w:p>
    <w:p w:rsidR="00EA1017" w:rsidRDefault="00EA1017">
      <w:pPr>
        <w:spacing w:after="0" w:line="236" w:lineRule="auto"/>
        <w:ind w:left="563" w:right="682" w:hanging="10"/>
        <w:rPr>
          <w:b/>
          <w:color w:val="1F3864" w:themeColor="accent1" w:themeShade="80"/>
          <w:u w:val="single"/>
        </w:rPr>
      </w:pPr>
    </w:p>
    <w:p w:rsidR="00DF539B" w:rsidRDefault="00EA1017" w:rsidP="00DF539B">
      <w:pPr>
        <w:spacing w:after="0" w:line="236" w:lineRule="auto"/>
        <w:ind w:left="563" w:right="682" w:hanging="10"/>
        <w:rPr>
          <w:color w:val="1F3864" w:themeColor="accent1" w:themeShade="80"/>
          <w:sz w:val="44"/>
          <w:szCs w:val="44"/>
        </w:rPr>
      </w:pPr>
      <w:r w:rsidRPr="00DF539B">
        <w:rPr>
          <w:color w:val="1F3864" w:themeColor="accent1" w:themeShade="80"/>
          <w:sz w:val="44"/>
          <w:szCs w:val="44"/>
        </w:rPr>
        <w:t>An excellent summary report was presented to a recent Inclusion North event identifying the cost to the NHS and social care system if family carers were to become unable or unwilling to continue.</w:t>
      </w:r>
      <w:r w:rsidR="00DF539B" w:rsidRPr="00DF539B">
        <w:rPr>
          <w:color w:val="1F3864" w:themeColor="accent1" w:themeShade="80"/>
          <w:sz w:val="44"/>
          <w:szCs w:val="44"/>
        </w:rPr>
        <w:t xml:space="preserve">                       </w:t>
      </w:r>
      <w:r w:rsidR="00DF539B">
        <w:rPr>
          <w:color w:val="1F3864" w:themeColor="accent1" w:themeShade="80"/>
          <w:sz w:val="44"/>
          <w:szCs w:val="44"/>
        </w:rPr>
        <w:t xml:space="preserve">     </w:t>
      </w:r>
    </w:p>
    <w:p w:rsidR="00DF539B" w:rsidRDefault="00DF539B" w:rsidP="00DF539B">
      <w:pPr>
        <w:spacing w:after="0" w:line="236" w:lineRule="auto"/>
        <w:ind w:left="563" w:right="682" w:hanging="10"/>
        <w:rPr>
          <w:color w:val="1F3864" w:themeColor="accent1" w:themeShade="80"/>
          <w:sz w:val="44"/>
          <w:szCs w:val="44"/>
        </w:rPr>
      </w:pPr>
    </w:p>
    <w:p w:rsidR="00EA1017" w:rsidRPr="00A77154" w:rsidRDefault="00EA1017" w:rsidP="00DF539B">
      <w:pPr>
        <w:spacing w:after="0" w:line="236" w:lineRule="auto"/>
        <w:ind w:left="563" w:right="682" w:hanging="10"/>
        <w:rPr>
          <w:color w:val="1F3864" w:themeColor="accent1" w:themeShade="80"/>
          <w:sz w:val="44"/>
          <w:szCs w:val="44"/>
          <w:u w:val="single"/>
        </w:rPr>
      </w:pPr>
      <w:r w:rsidRPr="00DF539B">
        <w:rPr>
          <w:color w:val="1F3864" w:themeColor="accent1" w:themeShade="80"/>
          <w:sz w:val="44"/>
          <w:szCs w:val="44"/>
        </w:rPr>
        <w:t xml:space="preserve">Nationally, </w:t>
      </w:r>
      <w:r w:rsidR="00DF539B" w:rsidRPr="00DF539B">
        <w:rPr>
          <w:color w:val="1F3864" w:themeColor="accent1" w:themeShade="80"/>
          <w:sz w:val="44"/>
          <w:szCs w:val="44"/>
        </w:rPr>
        <w:t xml:space="preserve">the amount saved to public service budgets is about </w:t>
      </w:r>
      <w:r w:rsidR="00DF539B" w:rsidRPr="00A77154">
        <w:rPr>
          <w:color w:val="1F3864" w:themeColor="accent1" w:themeShade="80"/>
          <w:sz w:val="44"/>
          <w:szCs w:val="44"/>
          <w:u w:val="single"/>
        </w:rPr>
        <w:t>the same as the total cost of the NHS.</w:t>
      </w:r>
    </w:p>
    <w:p w:rsidR="00DF539B" w:rsidRDefault="00DF539B" w:rsidP="00DF539B">
      <w:pPr>
        <w:spacing w:after="0" w:line="236" w:lineRule="auto"/>
        <w:ind w:left="563" w:right="682" w:hanging="10"/>
        <w:rPr>
          <w:color w:val="1F3864" w:themeColor="accent1" w:themeShade="80"/>
          <w:sz w:val="44"/>
          <w:szCs w:val="44"/>
        </w:rPr>
      </w:pPr>
    </w:p>
    <w:p w:rsidR="00DF539B" w:rsidRDefault="00DF539B" w:rsidP="00DF539B">
      <w:pPr>
        <w:spacing w:after="0" w:line="236" w:lineRule="auto"/>
        <w:ind w:left="563" w:right="682" w:hanging="10"/>
        <w:rPr>
          <w:color w:val="1F3864" w:themeColor="accent1" w:themeShade="80"/>
          <w:sz w:val="44"/>
          <w:szCs w:val="44"/>
        </w:rPr>
      </w:pPr>
      <w:r>
        <w:rPr>
          <w:color w:val="1F3864" w:themeColor="accent1" w:themeShade="80"/>
          <w:sz w:val="44"/>
          <w:szCs w:val="44"/>
        </w:rPr>
        <w:t xml:space="preserve">In Kirklees, the figure is </w:t>
      </w:r>
      <w:r w:rsidRPr="00A77154">
        <w:rPr>
          <w:color w:val="1F3864" w:themeColor="accent1" w:themeShade="80"/>
          <w:sz w:val="44"/>
          <w:szCs w:val="44"/>
          <w:u w:val="single"/>
        </w:rPr>
        <w:t>just under £156 million pounds</w:t>
      </w:r>
      <w:r w:rsidR="00A77154">
        <w:rPr>
          <w:color w:val="1F3864" w:themeColor="accent1" w:themeShade="80"/>
          <w:sz w:val="44"/>
          <w:szCs w:val="44"/>
        </w:rPr>
        <w:t xml:space="preserve"> – every</w:t>
      </w:r>
      <w:bookmarkStart w:id="0" w:name="_GoBack"/>
      <w:bookmarkEnd w:id="0"/>
      <w:r w:rsidR="00A77154">
        <w:rPr>
          <w:color w:val="1F3864" w:themeColor="accent1" w:themeShade="80"/>
          <w:sz w:val="44"/>
          <w:szCs w:val="44"/>
        </w:rPr>
        <w:t xml:space="preserve"> year…..</w:t>
      </w:r>
      <w:r>
        <w:rPr>
          <w:color w:val="1F3864" w:themeColor="accent1" w:themeShade="80"/>
          <w:sz w:val="44"/>
          <w:szCs w:val="44"/>
        </w:rPr>
        <w:t xml:space="preserve">. </w:t>
      </w:r>
    </w:p>
    <w:p w:rsidR="00DF539B" w:rsidRDefault="00DF539B" w:rsidP="00DF539B">
      <w:pPr>
        <w:spacing w:after="0" w:line="236" w:lineRule="auto"/>
        <w:ind w:left="563" w:right="682" w:hanging="10"/>
        <w:rPr>
          <w:color w:val="1F3864" w:themeColor="accent1" w:themeShade="80"/>
          <w:sz w:val="44"/>
          <w:szCs w:val="44"/>
        </w:rPr>
      </w:pPr>
    </w:p>
    <w:p w:rsidR="00DF539B" w:rsidRDefault="00DF539B" w:rsidP="00DF539B">
      <w:pPr>
        <w:spacing w:after="0" w:line="236" w:lineRule="auto"/>
        <w:ind w:left="563" w:right="682" w:hanging="10"/>
        <w:rPr>
          <w:color w:val="1F3864" w:themeColor="accent1" w:themeShade="80"/>
          <w:sz w:val="44"/>
          <w:szCs w:val="44"/>
        </w:rPr>
      </w:pPr>
    </w:p>
    <w:p w:rsidR="00DF539B" w:rsidRDefault="00DF539B" w:rsidP="00DF539B">
      <w:pPr>
        <w:spacing w:after="0" w:line="236" w:lineRule="auto"/>
        <w:ind w:left="563" w:right="682" w:hanging="10"/>
        <w:rPr>
          <w:color w:val="1F3864" w:themeColor="accent1" w:themeShade="80"/>
          <w:sz w:val="44"/>
          <w:szCs w:val="44"/>
        </w:rPr>
      </w:pPr>
      <w:r>
        <w:rPr>
          <w:color w:val="1F3864" w:themeColor="accent1" w:themeShade="80"/>
          <w:sz w:val="44"/>
          <w:szCs w:val="44"/>
        </w:rPr>
        <w:t>The report author suggests that family carers are the biggest single element of the entire health and social care workforce. ‘In any other industry they would collectively be respected as a very big player. If by giving them the right kind of support the output from this carer workforce could be increased by just 2 – 3 %, the financial gains would be significant. There needs to be more innovation in the way that carers are regarded and supported.’</w:t>
      </w:r>
    </w:p>
    <w:p w:rsidR="007454FD" w:rsidRDefault="007454FD" w:rsidP="00DF539B">
      <w:pPr>
        <w:spacing w:after="0" w:line="236" w:lineRule="auto"/>
        <w:ind w:left="563" w:right="682" w:hanging="10"/>
        <w:rPr>
          <w:color w:val="1F3864" w:themeColor="accent1" w:themeShade="80"/>
          <w:sz w:val="44"/>
          <w:szCs w:val="44"/>
        </w:rPr>
      </w:pPr>
    </w:p>
    <w:p w:rsidR="007454FD" w:rsidRDefault="007454FD" w:rsidP="00DF539B">
      <w:pPr>
        <w:spacing w:after="0" w:line="236" w:lineRule="auto"/>
        <w:ind w:left="563" w:right="682" w:hanging="10"/>
        <w:rPr>
          <w:color w:val="1F3864" w:themeColor="accent1" w:themeShade="80"/>
          <w:sz w:val="44"/>
          <w:szCs w:val="44"/>
        </w:rPr>
      </w:pPr>
      <w:r>
        <w:rPr>
          <w:color w:val="1F3864" w:themeColor="accent1" w:themeShade="80"/>
          <w:sz w:val="44"/>
          <w:szCs w:val="44"/>
        </w:rPr>
        <w:t>In theory, at least, agencies in Kirklees are signed up to this, and committed to valuing carers.</w:t>
      </w:r>
    </w:p>
    <w:p w:rsidR="007454FD" w:rsidRDefault="007454FD" w:rsidP="00DF539B">
      <w:pPr>
        <w:spacing w:after="0" w:line="236" w:lineRule="auto"/>
        <w:ind w:left="563" w:right="682" w:hanging="10"/>
        <w:rPr>
          <w:color w:val="1F3864" w:themeColor="accent1" w:themeShade="80"/>
          <w:sz w:val="44"/>
          <w:szCs w:val="44"/>
        </w:rPr>
      </w:pPr>
    </w:p>
    <w:p w:rsidR="007454FD" w:rsidRDefault="007454FD" w:rsidP="00DF539B">
      <w:pPr>
        <w:spacing w:after="0" w:line="236" w:lineRule="auto"/>
        <w:ind w:left="563" w:right="682" w:hanging="10"/>
        <w:rPr>
          <w:color w:val="1F3864" w:themeColor="accent1" w:themeShade="80"/>
          <w:sz w:val="44"/>
          <w:szCs w:val="44"/>
        </w:rPr>
      </w:pPr>
    </w:p>
    <w:p w:rsidR="007454FD" w:rsidRDefault="007454FD" w:rsidP="00DF539B">
      <w:pPr>
        <w:spacing w:after="0" w:line="236" w:lineRule="auto"/>
        <w:ind w:left="563" w:right="682" w:hanging="10"/>
        <w:rPr>
          <w:color w:val="1F3864" w:themeColor="accent1" w:themeShade="80"/>
          <w:sz w:val="44"/>
          <w:szCs w:val="44"/>
        </w:rPr>
      </w:pPr>
    </w:p>
    <w:p w:rsidR="007454FD" w:rsidRDefault="007454FD" w:rsidP="00DF539B">
      <w:pPr>
        <w:spacing w:after="0" w:line="236" w:lineRule="auto"/>
        <w:ind w:left="563" w:right="682" w:hanging="10"/>
        <w:rPr>
          <w:color w:val="1F3864" w:themeColor="accent1" w:themeShade="80"/>
          <w:sz w:val="44"/>
          <w:szCs w:val="44"/>
        </w:rPr>
      </w:pPr>
    </w:p>
    <w:p w:rsidR="00DF539B" w:rsidRPr="007454FD" w:rsidRDefault="007454FD" w:rsidP="007454FD">
      <w:pPr>
        <w:spacing w:after="0" w:line="236" w:lineRule="auto"/>
        <w:ind w:left="563" w:right="682" w:hanging="10"/>
        <w:rPr>
          <w:color w:val="1F3864" w:themeColor="accent1" w:themeShade="80"/>
          <w:sz w:val="56"/>
          <w:szCs w:val="56"/>
        </w:rPr>
      </w:pPr>
      <w:r w:rsidRPr="007454FD">
        <w:rPr>
          <w:color w:val="1F3864" w:themeColor="accent1" w:themeShade="80"/>
          <w:sz w:val="56"/>
          <w:szCs w:val="56"/>
        </w:rPr>
        <w:t xml:space="preserve">So why are we still having to fight to get a senior manager from the Council to co-chair this Board to which KIN members and family carers give their time freely and willingly, and in the same belief – that the Board is a highly significant place in which to support each other, work to resolve problems, and plan for the </w:t>
      </w:r>
      <w:proofErr w:type="gramStart"/>
      <w:r w:rsidRPr="007454FD">
        <w:rPr>
          <w:color w:val="1F3864" w:themeColor="accent1" w:themeShade="80"/>
          <w:sz w:val="56"/>
          <w:szCs w:val="56"/>
        </w:rPr>
        <w:t>future ?</w:t>
      </w:r>
      <w:proofErr w:type="gramEnd"/>
    </w:p>
    <w:p w:rsidR="00FA31AD" w:rsidRPr="001D33E4" w:rsidRDefault="00FA31AD">
      <w:pPr>
        <w:spacing w:after="0"/>
        <w:ind w:left="568"/>
        <w:rPr>
          <w:color w:val="1F3864" w:themeColor="accent1" w:themeShade="80"/>
        </w:rPr>
      </w:pPr>
    </w:p>
    <w:p w:rsidR="00FA31AD" w:rsidRPr="001D33E4" w:rsidRDefault="00730D77">
      <w:pPr>
        <w:spacing w:after="0"/>
        <w:ind w:left="568"/>
        <w:rPr>
          <w:color w:val="1F3864" w:themeColor="accent1" w:themeShade="80"/>
        </w:rPr>
      </w:pPr>
      <w:r w:rsidRPr="001D33E4">
        <w:rPr>
          <w:color w:val="1F3864" w:themeColor="accent1" w:themeShade="80"/>
          <w:sz w:val="36"/>
        </w:rPr>
        <w:lastRenderedPageBreak/>
        <w:t xml:space="preserve"> </w:t>
      </w:r>
    </w:p>
    <w:sectPr w:rsidR="00FA31AD" w:rsidRPr="001D33E4">
      <w:headerReference w:type="even" r:id="rId7"/>
      <w:headerReference w:type="default" r:id="rId8"/>
      <w:headerReference w:type="first" r:id="rId9"/>
      <w:pgSz w:w="14400" w:h="10800" w:orient="landscape"/>
      <w:pgMar w:top="1381" w:right="1586" w:bottom="1929" w:left="14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A3F" w:rsidRDefault="00A56A3F">
      <w:pPr>
        <w:spacing w:after="0" w:line="240" w:lineRule="auto"/>
      </w:pPr>
      <w:r>
        <w:separator/>
      </w:r>
    </w:p>
  </w:endnote>
  <w:endnote w:type="continuationSeparator" w:id="0">
    <w:p w:rsidR="00A56A3F" w:rsidRDefault="00A56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A3F" w:rsidRDefault="00A56A3F">
      <w:pPr>
        <w:spacing w:after="0" w:line="240" w:lineRule="auto"/>
      </w:pPr>
      <w:r>
        <w:separator/>
      </w:r>
    </w:p>
  </w:footnote>
  <w:footnote w:type="continuationSeparator" w:id="0">
    <w:p w:rsidR="00A56A3F" w:rsidRDefault="00A56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1AD" w:rsidRDefault="00730D77">
    <w:r>
      <w:rPr>
        <w:noProof/>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9144000" cy="6857999"/>
              <wp:effectExtent l="0" t="0" r="0" b="0"/>
              <wp:wrapNone/>
              <wp:docPr id="878" name="Group 878"/>
              <wp:cNvGraphicFramePr/>
              <a:graphic xmlns:a="http://schemas.openxmlformats.org/drawingml/2006/main">
                <a:graphicData uri="http://schemas.microsoft.com/office/word/2010/wordprocessingGroup">
                  <wpg:wgp>
                    <wpg:cNvGrpSpPr/>
                    <wpg:grpSpPr>
                      <a:xfrm>
                        <a:off x="0" y="0"/>
                        <a:ext cx="9144000" cy="6857999"/>
                        <a:chOff x="0" y="0"/>
                        <a:chExt cx="9144000" cy="6857999"/>
                      </a:xfrm>
                    </wpg:grpSpPr>
                    <wps:wsp>
                      <wps:cNvPr id="924" name="Shape 924"/>
                      <wps:cNvSpPr/>
                      <wps:spPr>
                        <a:xfrm>
                          <a:off x="0" y="0"/>
                          <a:ext cx="9144000" cy="6857999"/>
                        </a:xfrm>
                        <a:custGeom>
                          <a:avLst/>
                          <a:gdLst/>
                          <a:ahLst/>
                          <a:cxnLst/>
                          <a:rect l="0" t="0" r="0" b="0"/>
                          <a:pathLst>
                            <a:path w="9144000" h="6857999">
                              <a:moveTo>
                                <a:pt x="0" y="0"/>
                              </a:moveTo>
                              <a:lnTo>
                                <a:pt x="9144000" y="0"/>
                              </a:lnTo>
                              <a:lnTo>
                                <a:pt x="9144000" y="6857999"/>
                              </a:lnTo>
                              <a:lnTo>
                                <a:pt x="0" y="6857999"/>
                              </a:lnTo>
                              <a:lnTo>
                                <a:pt x="0" y="0"/>
                              </a:lnTo>
                            </a:path>
                          </a:pathLst>
                        </a:custGeom>
                        <a:ln w="0" cap="flat">
                          <a:miter lim="127000"/>
                        </a:ln>
                      </wps:spPr>
                      <wps:style>
                        <a:lnRef idx="0">
                          <a:srgbClr val="000000">
                            <a:alpha val="0"/>
                          </a:srgbClr>
                        </a:lnRef>
                        <a:fillRef idx="1">
                          <a:srgbClr val="E9E5DC"/>
                        </a:fillRef>
                        <a:effectRef idx="0">
                          <a:scrgbClr r="0" g="0" b="0"/>
                        </a:effectRef>
                        <a:fontRef idx="none"/>
                      </wps:style>
                      <wps:bodyPr/>
                    </wps:wsp>
                  </wpg:wgp>
                </a:graphicData>
              </a:graphic>
            </wp:anchor>
          </w:drawing>
        </mc:Choice>
        <mc:Fallback xmlns:a="http://schemas.openxmlformats.org/drawingml/2006/main">
          <w:pict>
            <v:group id="Group 878" style="width:720pt;height:540pt;position:absolute;z-index:-2147483648;mso-position-horizontal-relative:page;mso-position-horizontal:absolute;margin-left:0pt;mso-position-vertical-relative:page;margin-top:0pt;" coordsize="91440,68579">
              <v:shape id="Shape 925" style="position:absolute;width:91440;height:68579;left:0;top:0;" coordsize="9144000,6857999" path="m0,0l9144000,0l9144000,6857999l0,6857999l0,0">
                <v:stroke weight="0pt" endcap="flat" joinstyle="miter" miterlimit="10" on="false" color="#000000" opacity="0"/>
                <v:fill on="true" color="#e9e5dc"/>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1AD" w:rsidRDefault="00730D77">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9144000" cy="6857999"/>
              <wp:effectExtent l="0" t="0" r="0" b="0"/>
              <wp:wrapNone/>
              <wp:docPr id="875" name="Group 875"/>
              <wp:cNvGraphicFramePr/>
              <a:graphic xmlns:a="http://schemas.openxmlformats.org/drawingml/2006/main">
                <a:graphicData uri="http://schemas.microsoft.com/office/word/2010/wordprocessingGroup">
                  <wpg:wgp>
                    <wpg:cNvGrpSpPr/>
                    <wpg:grpSpPr>
                      <a:xfrm>
                        <a:off x="0" y="0"/>
                        <a:ext cx="9144000" cy="6857999"/>
                        <a:chOff x="0" y="0"/>
                        <a:chExt cx="9144000" cy="6857999"/>
                      </a:xfrm>
                    </wpg:grpSpPr>
                    <wps:wsp>
                      <wps:cNvPr id="922" name="Shape 922"/>
                      <wps:cNvSpPr/>
                      <wps:spPr>
                        <a:xfrm>
                          <a:off x="0" y="0"/>
                          <a:ext cx="9144000" cy="6857999"/>
                        </a:xfrm>
                        <a:custGeom>
                          <a:avLst/>
                          <a:gdLst/>
                          <a:ahLst/>
                          <a:cxnLst/>
                          <a:rect l="0" t="0" r="0" b="0"/>
                          <a:pathLst>
                            <a:path w="9144000" h="6857999">
                              <a:moveTo>
                                <a:pt x="0" y="0"/>
                              </a:moveTo>
                              <a:lnTo>
                                <a:pt x="9144000" y="0"/>
                              </a:lnTo>
                              <a:lnTo>
                                <a:pt x="9144000" y="6857999"/>
                              </a:lnTo>
                              <a:lnTo>
                                <a:pt x="0" y="6857999"/>
                              </a:lnTo>
                              <a:lnTo>
                                <a:pt x="0" y="0"/>
                              </a:lnTo>
                            </a:path>
                          </a:pathLst>
                        </a:custGeom>
                        <a:ln w="0" cap="flat">
                          <a:miter lim="127000"/>
                        </a:ln>
                      </wps:spPr>
                      <wps:style>
                        <a:lnRef idx="0">
                          <a:srgbClr val="000000">
                            <a:alpha val="0"/>
                          </a:srgbClr>
                        </a:lnRef>
                        <a:fillRef idx="1">
                          <a:srgbClr val="E9E5DC"/>
                        </a:fillRef>
                        <a:effectRef idx="0">
                          <a:scrgbClr r="0" g="0" b="0"/>
                        </a:effectRef>
                        <a:fontRef idx="none"/>
                      </wps:style>
                      <wps:bodyPr/>
                    </wps:wsp>
                  </wpg:wgp>
                </a:graphicData>
              </a:graphic>
            </wp:anchor>
          </w:drawing>
        </mc:Choice>
        <mc:Fallback xmlns:a="http://schemas.openxmlformats.org/drawingml/2006/main">
          <w:pict>
            <v:group id="Group 875" style="width:720pt;height:540pt;position:absolute;z-index:-2147483648;mso-position-horizontal-relative:page;mso-position-horizontal:absolute;margin-left:0pt;mso-position-vertical-relative:page;margin-top:0pt;" coordsize="91440,68579">
              <v:shape id="Shape 923" style="position:absolute;width:91440;height:68579;left:0;top:0;" coordsize="9144000,6857999" path="m0,0l9144000,0l9144000,6857999l0,6857999l0,0">
                <v:stroke weight="0pt" endcap="flat" joinstyle="miter" miterlimit="10" on="false" color="#000000" opacity="0"/>
                <v:fill on="true" color="#e9e5dc"/>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1AD" w:rsidRDefault="00730D77">
    <w:r>
      <w:rPr>
        <w:noProof/>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9144000" cy="6857999"/>
              <wp:effectExtent l="0" t="0" r="0" b="0"/>
              <wp:wrapNone/>
              <wp:docPr id="872" name="Group 872"/>
              <wp:cNvGraphicFramePr/>
              <a:graphic xmlns:a="http://schemas.openxmlformats.org/drawingml/2006/main">
                <a:graphicData uri="http://schemas.microsoft.com/office/word/2010/wordprocessingGroup">
                  <wpg:wgp>
                    <wpg:cNvGrpSpPr/>
                    <wpg:grpSpPr>
                      <a:xfrm>
                        <a:off x="0" y="0"/>
                        <a:ext cx="9144000" cy="6857999"/>
                        <a:chOff x="0" y="0"/>
                        <a:chExt cx="9144000" cy="6857999"/>
                      </a:xfrm>
                    </wpg:grpSpPr>
                    <wps:wsp>
                      <wps:cNvPr id="920" name="Shape 920"/>
                      <wps:cNvSpPr/>
                      <wps:spPr>
                        <a:xfrm>
                          <a:off x="0" y="0"/>
                          <a:ext cx="9144000" cy="6857999"/>
                        </a:xfrm>
                        <a:custGeom>
                          <a:avLst/>
                          <a:gdLst/>
                          <a:ahLst/>
                          <a:cxnLst/>
                          <a:rect l="0" t="0" r="0" b="0"/>
                          <a:pathLst>
                            <a:path w="9144000" h="6857999">
                              <a:moveTo>
                                <a:pt x="0" y="0"/>
                              </a:moveTo>
                              <a:lnTo>
                                <a:pt x="9144000" y="0"/>
                              </a:lnTo>
                              <a:lnTo>
                                <a:pt x="9144000" y="6857999"/>
                              </a:lnTo>
                              <a:lnTo>
                                <a:pt x="0" y="6857999"/>
                              </a:lnTo>
                              <a:lnTo>
                                <a:pt x="0" y="0"/>
                              </a:lnTo>
                            </a:path>
                          </a:pathLst>
                        </a:custGeom>
                        <a:ln w="0" cap="flat">
                          <a:miter lim="127000"/>
                        </a:ln>
                      </wps:spPr>
                      <wps:style>
                        <a:lnRef idx="0">
                          <a:srgbClr val="000000">
                            <a:alpha val="0"/>
                          </a:srgbClr>
                        </a:lnRef>
                        <a:fillRef idx="1">
                          <a:srgbClr val="E9E5DC"/>
                        </a:fillRef>
                        <a:effectRef idx="0">
                          <a:scrgbClr r="0" g="0" b="0"/>
                        </a:effectRef>
                        <a:fontRef idx="none"/>
                      </wps:style>
                      <wps:bodyPr/>
                    </wps:wsp>
                  </wpg:wgp>
                </a:graphicData>
              </a:graphic>
            </wp:anchor>
          </w:drawing>
        </mc:Choice>
        <mc:Fallback xmlns:a="http://schemas.openxmlformats.org/drawingml/2006/main">
          <w:pict>
            <v:group id="Group 872" style="width:720pt;height:540pt;position:absolute;z-index:-2147483648;mso-position-horizontal-relative:page;mso-position-horizontal:absolute;margin-left:0pt;mso-position-vertical-relative:page;margin-top:0pt;" coordsize="91440,68579">
              <v:shape id="Shape 921" style="position:absolute;width:91440;height:68579;left:0;top:0;" coordsize="9144000,6857999" path="m0,0l9144000,0l9144000,6857999l0,6857999l0,0">
                <v:stroke weight="0pt" endcap="flat" joinstyle="miter" miterlimit="10" on="false" color="#000000" opacity="0"/>
                <v:fill on="true" color="#e9e5dc"/>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85B5E"/>
    <w:multiLevelType w:val="hybridMultilevel"/>
    <w:tmpl w:val="49722416"/>
    <w:lvl w:ilvl="0" w:tplc="D9004D1A">
      <w:start w:val="18"/>
      <w:numFmt w:val="bullet"/>
      <w:lvlText w:val="-"/>
      <w:lvlJc w:val="left"/>
      <w:pPr>
        <w:ind w:left="720" w:hanging="360"/>
      </w:pPr>
      <w:rPr>
        <w:rFonts w:ascii="Calibri" w:eastAsia="Calibri" w:hAnsi="Calibri" w:cs="Calibri" w:hint="default"/>
        <w:sz w:val="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1AD"/>
    <w:rsid w:val="00170D6A"/>
    <w:rsid w:val="001D33E4"/>
    <w:rsid w:val="006E3A72"/>
    <w:rsid w:val="00730D77"/>
    <w:rsid w:val="007454FD"/>
    <w:rsid w:val="009339AD"/>
    <w:rsid w:val="00A56A3F"/>
    <w:rsid w:val="00A77154"/>
    <w:rsid w:val="00B94190"/>
    <w:rsid w:val="00DF539B"/>
    <w:rsid w:val="00EA1017"/>
    <w:rsid w:val="00FA3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CE8A7"/>
  <w15:docId w15:val="{94925DC3-3FEB-4354-898E-0E3E2BA4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568"/>
      <w:outlineLvl w:val="0"/>
    </w:pPr>
    <w:rPr>
      <w:rFonts w:ascii="Calibri" w:eastAsia="Calibri" w:hAnsi="Calibri" w:cs="Calibri"/>
      <w:b/>
      <w:color w:val="00800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8000"/>
      <w:sz w:val="56"/>
    </w:rPr>
  </w:style>
  <w:style w:type="paragraph" w:styleId="ListParagraph">
    <w:name w:val="List Paragraph"/>
    <w:basedOn w:val="Normal"/>
    <w:uiPriority w:val="34"/>
    <w:qFormat/>
    <w:rsid w:val="00B94190"/>
    <w:pPr>
      <w:ind w:left="720"/>
      <w:contextualSpacing/>
    </w:pPr>
  </w:style>
  <w:style w:type="paragraph" w:styleId="BalloonText">
    <w:name w:val="Balloon Text"/>
    <w:basedOn w:val="Normal"/>
    <w:link w:val="BalloonTextChar"/>
    <w:uiPriority w:val="99"/>
    <w:semiHidden/>
    <w:unhideWhenUsed/>
    <w:rsid w:val="00745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4FD"/>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Carers’ issues Learning Disability Partnership Board</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Carers’ issues Learning Disability Partnership Board</dc:title>
  <dc:subject/>
  <dc:creator>Michael</dc:creator>
  <cp:keywords/>
  <cp:lastModifiedBy>Mark</cp:lastModifiedBy>
  <cp:revision>6</cp:revision>
  <cp:lastPrinted>2019-03-11T16:50:00Z</cp:lastPrinted>
  <dcterms:created xsi:type="dcterms:W3CDTF">2019-03-11T15:59:00Z</dcterms:created>
  <dcterms:modified xsi:type="dcterms:W3CDTF">2019-03-11T17:06:00Z</dcterms:modified>
</cp:coreProperties>
</file>